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3B" w:rsidRDefault="00032B2A">
      <w:pPr>
        <w:spacing w:line="580" w:lineRule="exact"/>
        <w:ind w:firstLine="650"/>
        <w:jc w:val="center"/>
        <w:rPr>
          <w:rFonts w:ascii="宋体" w:hAnsi="宋体" w:cs="宋体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8"/>
          <w:szCs w:val="48"/>
          <w:shd w:val="clear" w:color="auto" w:fill="FFFFFF"/>
        </w:rPr>
        <w:t>三 微</w:t>
      </w:r>
      <w:r w:rsidR="008C6BBE">
        <w:rPr>
          <w:rFonts w:ascii="宋体" w:hAnsi="宋体" w:cs="宋体" w:hint="eastAsia"/>
          <w:b/>
          <w:bCs/>
          <w:color w:val="333333"/>
          <w:sz w:val="48"/>
          <w:szCs w:val="48"/>
          <w:shd w:val="clear" w:color="auto" w:fill="FFFFFF"/>
        </w:rPr>
        <w:t xml:space="preserve"> 策 划 方 案</w:t>
      </w:r>
    </w:p>
    <w:p w:rsidR="0045473B" w:rsidRDefault="0045473B">
      <w:pPr>
        <w:pStyle w:val="a0"/>
        <w:ind w:firstLine="650"/>
      </w:pPr>
    </w:p>
    <w:p w:rsidR="0045473B" w:rsidRDefault="008C6BBE">
      <w:pPr>
        <w:spacing w:line="580" w:lineRule="exact"/>
        <w:jc w:val="center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——</w:t>
      </w:r>
      <w:r>
        <w:rPr>
          <w:rFonts w:hint="eastAsia"/>
          <w:b/>
          <w:sz w:val="32"/>
          <w:szCs w:val="32"/>
        </w:rPr>
        <w:t xml:space="preserve">记坚守在疫情防控一线的宁夏计量人　</w:t>
      </w:r>
    </w:p>
    <w:p w:rsidR="0045473B" w:rsidRDefault="0045473B">
      <w:pPr>
        <w:pStyle w:val="1"/>
        <w:ind w:firstLineChars="700" w:firstLine="3092"/>
        <w:rPr>
          <w:szCs w:val="44"/>
        </w:rPr>
      </w:pPr>
    </w:p>
    <w:p w:rsidR="0045473B" w:rsidRDefault="008C6BBE">
      <w:pPr>
        <w:pStyle w:val="2"/>
        <w:numPr>
          <w:ilvl w:val="0"/>
          <w:numId w:val="1"/>
        </w:numPr>
      </w:pPr>
      <w:r>
        <w:rPr>
          <w:rFonts w:hint="eastAsia"/>
        </w:rPr>
        <w:t>片名：</w:t>
      </w:r>
    </w:p>
    <w:p w:rsidR="0045473B" w:rsidRDefault="008C6BBE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《</w:t>
      </w:r>
      <w:proofErr w:type="gramEnd"/>
      <w:r>
        <w:rPr>
          <w:rFonts w:hint="eastAsia"/>
          <w:sz w:val="28"/>
          <w:szCs w:val="28"/>
        </w:rPr>
        <w:t>党旗在“疫”线飘扬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党员在一线奋战</w:t>
      </w:r>
    </w:p>
    <w:p w:rsidR="0045473B" w:rsidRDefault="008C6BBE">
      <w:r>
        <w:rPr>
          <w:rFonts w:hint="eastAsia"/>
          <w:sz w:val="28"/>
          <w:szCs w:val="28"/>
        </w:rPr>
        <w:t>——记坚守在疫情防控一线的宁夏计量人</w:t>
      </w:r>
      <w:proofErr w:type="gramStart"/>
      <w:r>
        <w:rPr>
          <w:rFonts w:hint="eastAsia"/>
          <w:sz w:val="28"/>
          <w:szCs w:val="28"/>
        </w:rPr>
        <w:t>》</w:t>
      </w:r>
      <w:proofErr w:type="gramEnd"/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 xml:space="preserve">　</w:t>
      </w:r>
      <w:r>
        <w:rPr>
          <w:rFonts w:hint="eastAsia"/>
        </w:rPr>
        <w:t xml:space="preserve">              </w:t>
      </w:r>
    </w:p>
    <w:p w:rsidR="0045473B" w:rsidRDefault="008C6BBE">
      <w:pPr>
        <w:pStyle w:val="2"/>
        <w:numPr>
          <w:ilvl w:val="0"/>
          <w:numId w:val="1"/>
        </w:numPr>
      </w:pPr>
      <w:r>
        <w:rPr>
          <w:rFonts w:hint="eastAsia"/>
        </w:rPr>
        <w:t>成片技术参数</w:t>
      </w:r>
    </w:p>
    <w:p w:rsidR="0045473B" w:rsidRDefault="008C6B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清晰度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高清（</w:t>
      </w:r>
      <w:r>
        <w:rPr>
          <w:rFonts w:hint="eastAsia"/>
          <w:sz w:val="28"/>
          <w:szCs w:val="28"/>
        </w:rPr>
        <w:t>1920*1080</w:t>
      </w:r>
      <w:r>
        <w:rPr>
          <w:rFonts w:hint="eastAsia"/>
          <w:sz w:val="28"/>
          <w:szCs w:val="28"/>
        </w:rPr>
        <w:t>）</w:t>
      </w:r>
    </w:p>
    <w:p w:rsidR="0045473B" w:rsidRDefault="008C6B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画面比例：</w:t>
      </w:r>
      <w:r>
        <w:rPr>
          <w:rFonts w:hint="eastAsia"/>
          <w:sz w:val="28"/>
          <w:szCs w:val="28"/>
        </w:rPr>
        <w:t>16:9</w:t>
      </w:r>
    </w:p>
    <w:p w:rsidR="0045473B" w:rsidRDefault="008C6B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成片制式：</w:t>
      </w:r>
      <w:r>
        <w:rPr>
          <w:rFonts w:hint="eastAsia"/>
          <w:sz w:val="28"/>
          <w:szCs w:val="28"/>
        </w:rPr>
        <w:t>PAL</w:t>
      </w:r>
      <w:r>
        <w:rPr>
          <w:rFonts w:hint="eastAsia"/>
          <w:sz w:val="28"/>
          <w:szCs w:val="28"/>
        </w:rPr>
        <w:t>制</w:t>
      </w:r>
    </w:p>
    <w:p w:rsidR="0045473B" w:rsidRDefault="008C6B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成片时长：</w:t>
      </w:r>
      <w:r w:rsidR="00AE6CF4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-</w:t>
      </w:r>
      <w:r w:rsidR="00AE6CF4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分钟</w:t>
      </w:r>
    </w:p>
    <w:p w:rsidR="0045473B" w:rsidRDefault="008C6BBE">
      <w:pPr>
        <w:pStyle w:val="2"/>
        <w:numPr>
          <w:ilvl w:val="0"/>
          <w:numId w:val="1"/>
        </w:numPr>
      </w:pPr>
      <w:r>
        <w:rPr>
          <w:rFonts w:hint="eastAsia"/>
        </w:rPr>
        <w:t>短片主题定位</w:t>
      </w:r>
    </w:p>
    <w:p w:rsidR="0045473B" w:rsidRDefault="008C6BB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新冠肺炎疫情发生以来，宁夏计质院党总支坚决贯彻自治区市场监管厅党组的各项决策部署，充分发挥党总支的战斗堡垒作用和全体党员的先锋模范作用，主动履职作为，增强担当意识，以党支部凝聚党员，以党员带动群众，上下齐动员。面对疫情，以我单位优秀个人感人事迹为主，把真实感动人地的故事瞬间，运用便于传讲的现场访谈、短视频等载体和形式，体现出党员在工作生活中深入百姓、真抓实干、处处领跑带头的群体雕像。通过这些内容真实、情感真挚、感悟深刻的鲜活故事“以小见大”，展示党员风貌，凝聚正能量。</w:t>
      </w:r>
    </w:p>
    <w:p w:rsidR="0045473B" w:rsidRDefault="0045473B">
      <w:pPr>
        <w:pStyle w:val="a0"/>
      </w:pPr>
    </w:p>
    <w:p w:rsidR="0045473B" w:rsidRDefault="008C6BBE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镜头表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357"/>
        <w:gridCol w:w="851"/>
        <w:gridCol w:w="3685"/>
        <w:gridCol w:w="2525"/>
      </w:tblGrid>
      <w:tr w:rsidR="0045473B" w:rsidTr="00094E38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镜号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镜头内容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配音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45473B" w:rsidTr="00094E38">
        <w:trPr>
          <w:trHeight w:val="99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rFonts w:ascii="黑体" w:eastAsia="黑体" w:hAnsi="黑体" w:cs="仿宋_GB2312"/>
                <w:b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sz w:val="24"/>
              </w:rPr>
              <w:t>元宵节：与时间赛跑中灯火通明的实验室</w:t>
            </w:r>
          </w:p>
          <w:p w:rsidR="0045473B" w:rsidRDefault="0045473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60</w:t>
            </w:r>
            <w:r>
              <w:rPr>
                <w:rFonts w:ascii="Calibri" w:hAnsi="Calibri" w:cs="Calibri"/>
                <w:sz w:val="24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元宵节那天，宁夏计质院第二党支部的6名技术人员在完成黄河东路办事处和满城北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街办事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处所有辖社区测温仪校准工作后，已是晚上6点多了，他们没有一个人回家与家人团圆，而是立即返回远离市区的单位继续工作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根据文案拍摄还原几名技术人员的坚持付出</w:t>
            </w:r>
          </w:p>
        </w:tc>
      </w:tr>
      <w:tr w:rsidR="0045473B" w:rsidTr="00094E38">
        <w:trPr>
          <w:trHeight w:val="79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rFonts w:ascii="黑体" w:eastAsia="黑体" w:hAnsi="黑体" w:cs="仿宋_GB2312"/>
                <w:sz w:val="24"/>
              </w:rPr>
            </w:pPr>
            <w:proofErr w:type="gramStart"/>
            <w:r>
              <w:rPr>
                <w:rFonts w:ascii="黑体" w:eastAsia="黑体" w:hAnsi="黑体" w:cs="仿宋_GB2312" w:hint="eastAsia"/>
                <w:b/>
                <w:sz w:val="24"/>
              </w:rPr>
              <w:t>毛菊林</w:t>
            </w:r>
            <w:proofErr w:type="gramEnd"/>
            <w:r>
              <w:rPr>
                <w:rFonts w:ascii="黑体" w:eastAsia="黑体" w:hAnsi="黑体" w:cs="仿宋_GB2312" w:hint="eastAsia"/>
                <w:b/>
                <w:sz w:val="24"/>
              </w:rPr>
              <w:t>：舍小家顾大家的技术骨干</w:t>
            </w:r>
          </w:p>
          <w:p w:rsidR="0045473B" w:rsidRDefault="0045473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rFonts w:ascii="Calibri" w:hAnsi="Calibri" w:cs="Calibri"/>
                <w:sz w:val="24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在一线校准过程中，她发现大多数测温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仪使用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人员没有参考资料，使用过程中问题较多，经院领导指示，在紧迫的疫情面前，她晚上九点到家后加班到凌晨2点编写出《人体红外测温仪使用指南》，然后又在清晨七点出发去石嘴山外检。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录音：孩子只有6岁，没办法陪伴照顾孩子，整个寒假只能将孩子放在妈妈家里。</w:t>
            </w:r>
          </w:p>
        </w:tc>
      </w:tr>
      <w:tr w:rsidR="0045473B" w:rsidTr="00094E38">
        <w:trPr>
          <w:trHeight w:val="74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黑体" w:eastAsia="黑体" w:hAnsi="黑体" w:cs="仿宋_GB2312" w:hint="eastAsia"/>
                <w:b/>
                <w:sz w:val="24"/>
              </w:rPr>
              <w:t>乔震东</w:t>
            </w:r>
            <w:proofErr w:type="gramEnd"/>
            <w:r>
              <w:rPr>
                <w:rFonts w:ascii="黑体" w:eastAsia="黑体" w:hAnsi="黑体" w:cs="仿宋_GB2312" w:hint="eastAsia"/>
                <w:b/>
                <w:sz w:val="24"/>
              </w:rPr>
              <w:t>：身躯不倒、奋战不止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60</w:t>
            </w:r>
            <w:r>
              <w:rPr>
                <w:rFonts w:ascii="Calibri" w:hAnsi="Calibri" w:cs="Calibri"/>
                <w:sz w:val="24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 w:rsidP="00094E38">
            <w:pPr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2020年春节前夕，疫情来袭，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乔震东主动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找到领导要求上抗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疫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一线工作，领导考虑到他的身体状况让他回家休息，他说“我有在非典和甲流工作期间的经验，请领导批准我去一线工作的要求吧”!就这样这位老兵再一次走上了抗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疫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的前线和同事们并肩作战。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录音：“我曾经是一名战士更是一名党员，在面对艰险和困难时我的使命和责任不允许我躲在别人身后”。</w:t>
            </w:r>
          </w:p>
        </w:tc>
      </w:tr>
      <w:tr w:rsidR="0045473B" w:rsidTr="00094E38">
        <w:trPr>
          <w:trHeight w:val="107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艾银国：</w:t>
            </w:r>
            <w:r>
              <w:rPr>
                <w:rFonts w:ascii="黑体" w:eastAsia="黑体" w:hAnsi="黑体" w:cs="仿宋_GB2312"/>
                <w:sz w:val="24"/>
              </w:rPr>
              <w:t>站好岗、</w:t>
            </w:r>
            <w:proofErr w:type="gramStart"/>
            <w:r>
              <w:rPr>
                <w:rFonts w:ascii="黑体" w:eastAsia="黑体" w:hAnsi="黑体" w:cs="仿宋_GB2312"/>
                <w:sz w:val="24"/>
              </w:rPr>
              <w:t>担好责</w:t>
            </w:r>
            <w:proofErr w:type="gramEnd"/>
            <w:r>
              <w:rPr>
                <w:rFonts w:ascii="黑体" w:eastAsia="黑体" w:hAnsi="黑体" w:cs="仿宋_GB2312"/>
                <w:sz w:val="24"/>
              </w:rPr>
              <w:t>、带好头</w:t>
            </w:r>
          </w:p>
          <w:p w:rsidR="0045473B" w:rsidRDefault="0045473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60</w:t>
            </w:r>
            <w:r>
              <w:rPr>
                <w:rFonts w:ascii="Calibri" w:hAnsi="Calibri" w:cs="Calibri"/>
                <w:sz w:val="24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大年初二接到任务后，身为科室负责人，他义务反顾地冲在前面，连续奋战</w:t>
            </w:r>
            <w:r>
              <w:rPr>
                <w:rFonts w:ascii="仿宋" w:eastAsia="仿宋" w:hAnsi="仿宋" w:cs="仿宋_GB2312"/>
                <w:sz w:val="24"/>
              </w:rPr>
              <w:t>14</w:t>
            </w:r>
            <w:r>
              <w:rPr>
                <w:rFonts w:ascii="仿宋" w:eastAsia="仿宋" w:hAnsi="仿宋" w:cs="仿宋_GB2312" w:hint="eastAsia"/>
                <w:sz w:val="24"/>
              </w:rPr>
              <w:t>天，从飞机场到火车站、从汽车站到高铁站、从医院到基层社区，他的脚步和身影出现在每一个需要的地方。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穿插与家中对话的镜头</w:t>
            </w:r>
          </w:p>
        </w:tc>
      </w:tr>
      <w:tr w:rsidR="0045473B" w:rsidTr="00094E38">
        <w:trPr>
          <w:trHeight w:val="325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梁卫社、苏磊、闫志国、张戈、兰雯静、吴瑞贤等所有工作人员形象合影</w:t>
            </w:r>
          </w:p>
          <w:p w:rsidR="0045473B" w:rsidRDefault="0045473B">
            <w:pPr>
              <w:pStyle w:val="a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60</w:t>
            </w:r>
            <w:r>
              <w:rPr>
                <w:rFonts w:ascii="Calibri" w:hAnsi="Calibri" w:cs="Calibri"/>
                <w:sz w:val="24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 w:rsidP="00094E38">
            <w:pPr>
              <w:ind w:firstLine="642"/>
              <w:jc w:val="left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万家灯火的背后，是所有奋战在抗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疫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一线的勇士负重前行。宁夏计量人全力投身这场疫情防控战，敢于担当、敢于奉献，以最严标准、最严作风，确保疫情防控筛查工作的准确性和可靠性，广大党员干部职工用实际行动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>践行着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>初心和使命，让党旗在防控疫情的第一线高高飘扬。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镜头表现人物形象，结尾文字包装。</w:t>
            </w:r>
          </w:p>
        </w:tc>
      </w:tr>
      <w:tr w:rsidR="0045473B" w:rsidTr="00094E38">
        <w:trPr>
          <w:trHeight w:val="35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计量科研助力疫情防控——</w:t>
            </w:r>
            <w:r>
              <w:rPr>
                <w:rFonts w:hint="eastAsia"/>
                <w:b/>
                <w:bCs/>
              </w:rPr>
              <w:t>2020</w:t>
            </w:r>
            <w:r>
              <w:rPr>
                <w:rFonts w:hint="eastAsia"/>
                <w:b/>
                <w:bCs/>
              </w:rPr>
              <w:t>年自治区重点研发计划科技支撑“新型冠状病毒感染的肺炎疫情防控”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专项《高速公路卡口疫情防控系统》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60</w:t>
            </w:r>
            <w:r>
              <w:rPr>
                <w:rFonts w:ascii="Calibri" w:hAnsi="Calibri" w:cs="Calibri"/>
                <w:sz w:val="24"/>
              </w:rPr>
              <w:t>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ind w:firstLine="642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针对高速公路疫情防控存在的户外开放环境、待检人员多、测温不精准、人员信息登记耗时长等问题，综合运用人工智能、大数据、红外辐射等技术，研发一套高速公路卡口疫情防控系统，包括前端高精度测温设备、小程序、后台管理系统，可满足高速公路开放式、低温环境下，实现非接触、快速筛查和快速放行需要，提高筛查效率，减少筛查时间。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拍摄整个系统运行场景与疫情防控前期手持测温仪通行状态做比较</w:t>
            </w:r>
          </w:p>
        </w:tc>
      </w:tr>
      <w:tr w:rsidR="0045473B" w:rsidTr="00094E38">
        <w:trPr>
          <w:trHeight w:val="244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本院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号楼五楼大会议室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人配乐诗朗诵及配合朗诵内容穿插的现有照片、视频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360</w:t>
            </w:r>
            <w:r>
              <w:rPr>
                <w:rFonts w:ascii="Calibri" w:hAnsi="Calibri" w:cs="Calibri"/>
                <w:sz w:val="24"/>
              </w:rPr>
              <w:t>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ind w:firstLine="642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现场朗诵的内容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473B" w:rsidRDefault="008C6BBE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只需一个固定机位在室内拍摄，后期剪辑制作时需单独加片头片尾、配乐、字幕、穿插的照片、视频等内容</w:t>
            </w:r>
          </w:p>
        </w:tc>
      </w:tr>
      <w:tr w:rsidR="00032B2A" w:rsidTr="00094E38">
        <w:trPr>
          <w:trHeight w:val="3106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2B2A" w:rsidRDefault="00032B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2B2A" w:rsidRPr="0027531D" w:rsidRDefault="00032B2A" w:rsidP="00094E38">
            <w:pPr>
              <w:jc w:val="left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sz w:val="24"/>
              </w:rPr>
              <w:t>宁夏计质院3号楼504会议室，</w:t>
            </w:r>
            <w:r w:rsidR="0027531D">
              <w:rPr>
                <w:rFonts w:asciiTheme="minorEastAsia" w:hAnsiTheme="minorEastAsia" w:hint="eastAsia"/>
                <w:sz w:val="24"/>
              </w:rPr>
              <w:t>宁夏计质院第二党支部党员微党课演讲。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2B2A" w:rsidRDefault="0027531D" w:rsidP="007326D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600</w:t>
            </w:r>
            <w:r>
              <w:rPr>
                <w:rFonts w:ascii="Calibri" w:hAnsi="Calibri" w:cs="Calibri"/>
                <w:sz w:val="24"/>
              </w:rPr>
              <w:t>"</w:t>
            </w:r>
            <w:r w:rsidR="007326DB">
              <w:rPr>
                <w:rFonts w:ascii="Calibri" w:hAnsi="Calibri" w:cs="Calibri" w:hint="eastAsia"/>
                <w:sz w:val="24"/>
              </w:rPr>
              <w:t>-720</w:t>
            </w:r>
            <w:r w:rsidR="007326DB">
              <w:rPr>
                <w:rFonts w:ascii="Calibri" w:hAnsi="Calibri" w:cs="Calibri"/>
                <w:sz w:val="24"/>
              </w:rPr>
              <w:t>"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2B2A" w:rsidRDefault="0027531D">
            <w:pPr>
              <w:ind w:firstLine="642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选择合适的音乐为背景音乐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32B2A" w:rsidRDefault="0027531D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根据效果需要2个机位在室内拍摄，拍摄时需提供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提词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器、背景板，后期剪辑制作时需单独加片头片尾、配乐、字幕、穿插的照片、视频等内容</w:t>
            </w:r>
          </w:p>
        </w:tc>
      </w:tr>
    </w:tbl>
    <w:p w:rsidR="0045473B" w:rsidRPr="00F225D0" w:rsidRDefault="0045473B" w:rsidP="00094E38">
      <w:pPr>
        <w:pStyle w:val="a0"/>
      </w:pPr>
    </w:p>
    <w:sectPr w:rsidR="0045473B" w:rsidRPr="00F225D0" w:rsidSect="00094E38">
      <w:footerReference w:type="default" r:id="rId9"/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36" w:rsidRDefault="00C64136" w:rsidP="0045473B">
      <w:r>
        <w:separator/>
      </w:r>
    </w:p>
  </w:endnote>
  <w:endnote w:type="continuationSeparator" w:id="0">
    <w:p w:rsidR="00C64136" w:rsidRDefault="00C64136" w:rsidP="0045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3168"/>
      <w:docPartObj>
        <w:docPartGallery w:val="AutoText"/>
      </w:docPartObj>
    </w:sdtPr>
    <w:sdtEndPr/>
    <w:sdtContent>
      <w:p w:rsidR="0045473B" w:rsidRDefault="0082320A">
        <w:pPr>
          <w:pStyle w:val="a4"/>
          <w:jc w:val="right"/>
        </w:pPr>
        <w:r>
          <w:fldChar w:fldCharType="begin"/>
        </w:r>
        <w:r w:rsidR="008C6BBE">
          <w:instrText xml:space="preserve"> PAGE   \* MERGEFORMAT </w:instrText>
        </w:r>
        <w:r>
          <w:fldChar w:fldCharType="separate"/>
        </w:r>
        <w:r w:rsidR="00094E38" w:rsidRPr="00094E3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5473B" w:rsidRDefault="004547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36" w:rsidRDefault="00C64136" w:rsidP="0045473B">
      <w:r>
        <w:separator/>
      </w:r>
    </w:p>
  </w:footnote>
  <w:footnote w:type="continuationSeparator" w:id="0">
    <w:p w:rsidR="00C64136" w:rsidRDefault="00C64136" w:rsidP="0045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440E"/>
    <w:multiLevelType w:val="singleLevel"/>
    <w:tmpl w:val="5908440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577A273"/>
    <w:multiLevelType w:val="singleLevel"/>
    <w:tmpl w:val="6577A2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77627B"/>
    <w:rsid w:val="00032B2A"/>
    <w:rsid w:val="00094E38"/>
    <w:rsid w:val="001B67ED"/>
    <w:rsid w:val="001B7581"/>
    <w:rsid w:val="001E1A46"/>
    <w:rsid w:val="0027531D"/>
    <w:rsid w:val="0040312C"/>
    <w:rsid w:val="00452282"/>
    <w:rsid w:val="0045473B"/>
    <w:rsid w:val="004608DE"/>
    <w:rsid w:val="004A6828"/>
    <w:rsid w:val="004B2728"/>
    <w:rsid w:val="004F152E"/>
    <w:rsid w:val="00553399"/>
    <w:rsid w:val="00555667"/>
    <w:rsid w:val="005C56AF"/>
    <w:rsid w:val="00650E86"/>
    <w:rsid w:val="006854D7"/>
    <w:rsid w:val="006F13C2"/>
    <w:rsid w:val="00722A34"/>
    <w:rsid w:val="007231CD"/>
    <w:rsid w:val="007326DB"/>
    <w:rsid w:val="00751C65"/>
    <w:rsid w:val="007632FF"/>
    <w:rsid w:val="007B3730"/>
    <w:rsid w:val="00807D08"/>
    <w:rsid w:val="0082320A"/>
    <w:rsid w:val="008C6BBE"/>
    <w:rsid w:val="008E7033"/>
    <w:rsid w:val="008F41D9"/>
    <w:rsid w:val="00983369"/>
    <w:rsid w:val="0099228B"/>
    <w:rsid w:val="00A27F0A"/>
    <w:rsid w:val="00A60B54"/>
    <w:rsid w:val="00AE6CF4"/>
    <w:rsid w:val="00B50A61"/>
    <w:rsid w:val="00C3793B"/>
    <w:rsid w:val="00C64136"/>
    <w:rsid w:val="00C97692"/>
    <w:rsid w:val="00CB06EA"/>
    <w:rsid w:val="00CB70BC"/>
    <w:rsid w:val="00CD6EC5"/>
    <w:rsid w:val="00DE54FF"/>
    <w:rsid w:val="00E02AE4"/>
    <w:rsid w:val="00E563D7"/>
    <w:rsid w:val="00E83CB3"/>
    <w:rsid w:val="00F225D0"/>
    <w:rsid w:val="00F36E7F"/>
    <w:rsid w:val="00F67CFD"/>
    <w:rsid w:val="03541409"/>
    <w:rsid w:val="03705838"/>
    <w:rsid w:val="03B54424"/>
    <w:rsid w:val="03C72362"/>
    <w:rsid w:val="03E45BF0"/>
    <w:rsid w:val="03F705E2"/>
    <w:rsid w:val="050D7B3A"/>
    <w:rsid w:val="053B4EE2"/>
    <w:rsid w:val="064D79F0"/>
    <w:rsid w:val="07842761"/>
    <w:rsid w:val="07B20E83"/>
    <w:rsid w:val="08415F3E"/>
    <w:rsid w:val="090F1DBF"/>
    <w:rsid w:val="093B10DA"/>
    <w:rsid w:val="0C77627B"/>
    <w:rsid w:val="0D9A291C"/>
    <w:rsid w:val="0E296FD9"/>
    <w:rsid w:val="0F35442E"/>
    <w:rsid w:val="12AA1129"/>
    <w:rsid w:val="1550364A"/>
    <w:rsid w:val="157C408A"/>
    <w:rsid w:val="16C950D5"/>
    <w:rsid w:val="1B7B7B01"/>
    <w:rsid w:val="1D1456A7"/>
    <w:rsid w:val="1FF6245D"/>
    <w:rsid w:val="219B7EF5"/>
    <w:rsid w:val="234A08B1"/>
    <w:rsid w:val="2370610B"/>
    <w:rsid w:val="23A7044C"/>
    <w:rsid w:val="25966A43"/>
    <w:rsid w:val="27446B58"/>
    <w:rsid w:val="2E5629F3"/>
    <w:rsid w:val="2E7B6F26"/>
    <w:rsid w:val="316A778B"/>
    <w:rsid w:val="330D2FA8"/>
    <w:rsid w:val="331B2067"/>
    <w:rsid w:val="38B26850"/>
    <w:rsid w:val="38B64F19"/>
    <w:rsid w:val="39382630"/>
    <w:rsid w:val="3C1A1AB1"/>
    <w:rsid w:val="3D3D0C79"/>
    <w:rsid w:val="3DD02B63"/>
    <w:rsid w:val="3E207B83"/>
    <w:rsid w:val="42F25724"/>
    <w:rsid w:val="48CA50ED"/>
    <w:rsid w:val="4A047F26"/>
    <w:rsid w:val="4AAB78B4"/>
    <w:rsid w:val="4E211AD7"/>
    <w:rsid w:val="4E423D14"/>
    <w:rsid w:val="4E9A616A"/>
    <w:rsid w:val="4F60499A"/>
    <w:rsid w:val="51006FEE"/>
    <w:rsid w:val="52FA7344"/>
    <w:rsid w:val="538271C7"/>
    <w:rsid w:val="53EF1912"/>
    <w:rsid w:val="5471158B"/>
    <w:rsid w:val="55127B2A"/>
    <w:rsid w:val="57D661FC"/>
    <w:rsid w:val="59AA7CB2"/>
    <w:rsid w:val="59EB270F"/>
    <w:rsid w:val="5BD36ADE"/>
    <w:rsid w:val="5C1F28FF"/>
    <w:rsid w:val="5C775C5E"/>
    <w:rsid w:val="5DB20712"/>
    <w:rsid w:val="5EF8683D"/>
    <w:rsid w:val="5F0C7DE1"/>
    <w:rsid w:val="61421C08"/>
    <w:rsid w:val="642E0BD1"/>
    <w:rsid w:val="64B42FBB"/>
    <w:rsid w:val="64D42BF2"/>
    <w:rsid w:val="65EF292A"/>
    <w:rsid w:val="68E02EEB"/>
    <w:rsid w:val="6A854A13"/>
    <w:rsid w:val="6AC80BDA"/>
    <w:rsid w:val="6B621EEF"/>
    <w:rsid w:val="6FEF3A38"/>
    <w:rsid w:val="72603F02"/>
    <w:rsid w:val="737A18C5"/>
    <w:rsid w:val="73FB4D37"/>
    <w:rsid w:val="741864F2"/>
    <w:rsid w:val="75956F7A"/>
    <w:rsid w:val="76A84BD1"/>
    <w:rsid w:val="76E47B69"/>
    <w:rsid w:val="77722292"/>
    <w:rsid w:val="790A7B72"/>
    <w:rsid w:val="79AE6AD6"/>
    <w:rsid w:val="7A826AC2"/>
    <w:rsid w:val="7BB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547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5473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45473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45473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5473B"/>
  </w:style>
  <w:style w:type="paragraph" w:styleId="a4">
    <w:name w:val="footer"/>
    <w:basedOn w:val="a"/>
    <w:link w:val="Char"/>
    <w:uiPriority w:val="99"/>
    <w:rsid w:val="00454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454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454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uiPriority w:val="99"/>
    <w:unhideWhenUsed/>
    <w:qFormat/>
    <w:rsid w:val="0045473B"/>
    <w:pPr>
      <w:jc w:val="left"/>
    </w:pPr>
    <w:rPr>
      <w:kern w:val="0"/>
      <w:sz w:val="24"/>
    </w:rPr>
  </w:style>
  <w:style w:type="table" w:styleId="a7">
    <w:name w:val="Table Grid"/>
    <w:basedOn w:val="a2"/>
    <w:qFormat/>
    <w:rsid w:val="0045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sid w:val="0045473B"/>
    <w:rPr>
      <w:b/>
    </w:rPr>
  </w:style>
  <w:style w:type="character" w:styleId="a9">
    <w:name w:val="Hyperlink"/>
    <w:basedOn w:val="a1"/>
    <w:rsid w:val="0045473B"/>
    <w:rPr>
      <w:color w:val="0000FF"/>
      <w:u w:val="single"/>
    </w:rPr>
  </w:style>
  <w:style w:type="character" w:customStyle="1" w:styleId="Char0">
    <w:name w:val="页眉 Char"/>
    <w:basedOn w:val="a1"/>
    <w:link w:val="a5"/>
    <w:rsid w:val="0045473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4547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253</Words>
  <Characters>1444</Characters>
  <Application>Microsoft Office Word</Application>
  <DocSecurity>0</DocSecurity>
  <Lines>12</Lines>
  <Paragraphs>3</Paragraphs>
  <ScaleCrop>false</ScaleCrop>
  <Company>CHINA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my computer</cp:lastModifiedBy>
  <cp:revision>22</cp:revision>
  <cp:lastPrinted>2020-06-01T03:08:00Z</cp:lastPrinted>
  <dcterms:created xsi:type="dcterms:W3CDTF">2018-08-15T00:49:00Z</dcterms:created>
  <dcterms:modified xsi:type="dcterms:W3CDTF">2020-06-01T23:52:00Z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